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86" w:rsidRPr="00306886" w:rsidRDefault="00306886" w:rsidP="00306886">
      <w:pPr>
        <w:pStyle w:val="a8"/>
        <w:rPr>
          <w:rFonts w:ascii="Times New Roman" w:hAnsi="Times New Roman" w:cs="Times New Roman"/>
          <w:b/>
          <w:bCs/>
          <w:szCs w:val="28"/>
        </w:rPr>
      </w:pPr>
      <w:r w:rsidRPr="00306886">
        <w:rPr>
          <w:rFonts w:ascii="Times New Roman" w:hAnsi="Times New Roman" w:cs="Times New Roman"/>
          <w:b/>
          <w:szCs w:val="28"/>
        </w:rPr>
        <w:t xml:space="preserve">Описание дополнительной общеобразовательной программы </w:t>
      </w:r>
      <w:r w:rsidRPr="00306886">
        <w:rPr>
          <w:rFonts w:ascii="Times New Roman" w:hAnsi="Times New Roman" w:cs="Times New Roman"/>
          <w:b/>
          <w:bCs/>
          <w:szCs w:val="28"/>
        </w:rPr>
        <w:t>подготовки лиц в целях изучения правил безопасного обращения с оружием и приобретения навыков безопасного обращения с оружием</w:t>
      </w:r>
    </w:p>
    <w:p w:rsidR="00306886" w:rsidRDefault="00306886" w:rsidP="00306886">
      <w:pPr>
        <w:pStyle w:val="22"/>
        <w:ind w:firstLine="709"/>
        <w:rPr>
          <w:szCs w:val="28"/>
        </w:rPr>
      </w:pPr>
    </w:p>
    <w:p w:rsidR="00306886" w:rsidRDefault="00306886" w:rsidP="00306886">
      <w:pPr>
        <w:pStyle w:val="22"/>
        <w:ind w:firstLine="709"/>
        <w:rPr>
          <w:szCs w:val="28"/>
        </w:rPr>
      </w:pPr>
    </w:p>
    <w:p w:rsidR="00306886" w:rsidRPr="00871935" w:rsidRDefault="00306886" w:rsidP="00306886">
      <w:pPr>
        <w:pStyle w:val="22"/>
        <w:ind w:firstLine="709"/>
        <w:rPr>
          <w:szCs w:val="28"/>
        </w:rPr>
      </w:pPr>
      <w:r w:rsidRPr="00871935">
        <w:rPr>
          <w:szCs w:val="28"/>
        </w:rPr>
        <w:t>Настоящая дополнительная общеобразовательная программа является дополнительной общеобразовательной общеразвивающей программой и предназначена для осуществления образовательной деятельности по подготовке лиц в целях изучения правил безопасного обращения с оружием и приобретения навыков безопасного обращения с оружием.</w:t>
      </w:r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r w:rsidRPr="00F968FD">
        <w:rPr>
          <w:rFonts w:ascii="Times New Roman" w:hAnsi="Times New Roman" w:cs="Times New Roman"/>
        </w:rPr>
        <w:t>Подготовка лиц в целях изучения правил безопасного обращения с оружием и приобретения навыков безопасного обращения с оружием реализуется в ЧОУ ДПО «Академия Охраны» (далее - организация) на базе настоящей Программы.</w:t>
      </w:r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r w:rsidRPr="00F968FD">
        <w:rPr>
          <w:rFonts w:ascii="Times New Roman" w:hAnsi="Times New Roman" w:cs="Times New Roman"/>
        </w:rPr>
        <w:t>Базовый уровень образования лиц, проходящих подготовку по программе, нормативно не регламентирован. Общая трудоемкость программы составляет не менее 6 академических часов</w:t>
      </w:r>
      <w:r>
        <w:rPr>
          <w:rFonts w:ascii="Times New Roman" w:hAnsi="Times New Roman" w:cs="Times New Roman"/>
          <w:sz w:val="25"/>
          <w:vertAlign w:val="superscript"/>
        </w:rPr>
        <w:t>*</w:t>
      </w:r>
      <w:r w:rsidRPr="00DC7BBD">
        <w:rPr>
          <w:rStyle w:val="a6"/>
          <w:rFonts w:ascii="Times New Roman" w:hAnsi="Times New Roman" w:cs="Times New Roman"/>
          <w:color w:val="FFFFFF" w:themeColor="background1"/>
          <w:sz w:val="25"/>
        </w:rPr>
        <w:footnoteReference w:id="1"/>
      </w:r>
      <w:r w:rsidRPr="00DC7BBD">
        <w:rPr>
          <w:rFonts w:ascii="Times New Roman" w:hAnsi="Times New Roman" w:cs="Times New Roman"/>
          <w:color w:val="FFFFFF" w:themeColor="background1"/>
        </w:rPr>
        <w:t>.</w:t>
      </w:r>
    </w:p>
    <w:p w:rsidR="00306886" w:rsidRDefault="00306886" w:rsidP="00306886">
      <w:pPr>
        <w:spacing w:after="0"/>
        <w:ind w:left="0"/>
        <w:rPr>
          <w:rFonts w:ascii="Times New Roman" w:hAnsi="Times New Roman" w:cs="Times New Roman"/>
        </w:rPr>
      </w:pPr>
      <w:proofErr w:type="gramStart"/>
      <w:r w:rsidRPr="00F968FD">
        <w:rPr>
          <w:rFonts w:ascii="Times New Roman" w:hAnsi="Times New Roman" w:cs="Times New Roman"/>
        </w:rPr>
        <w:t>Программа имеет основной целью подготовку к безопасному обращению с оружием граждан, впервые приобретающие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(в соответствии со статьей 13 Федерального закона «Об оружии»).</w:t>
      </w:r>
      <w:r w:rsidRPr="009427D7">
        <w:rPr>
          <w:rFonts w:ascii="Times New Roman" w:hAnsi="Times New Roman" w:cs="Times New Roman"/>
        </w:rPr>
        <w:t xml:space="preserve"> </w:t>
      </w:r>
      <w:proofErr w:type="gramEnd"/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proofErr w:type="gramStart"/>
      <w:r w:rsidRPr="00F968FD">
        <w:rPr>
          <w:rFonts w:ascii="Times New Roman" w:hAnsi="Times New Roman" w:cs="Times New Roman"/>
        </w:rPr>
        <w:t>Подготовку по данной Программе не обязаны проходить граждане, имеющие разрешение на хранение или хранение и ношение огнестрельного оружия; граждане, проходящие службу в государственных военизированных организациях</w:t>
      </w:r>
      <w:r w:rsidRPr="00DE74C2">
        <w:rPr>
          <w:rFonts w:ascii="Times New Roman" w:hAnsi="Times New Roman" w:cs="Times New Roman"/>
          <w:color w:val="auto"/>
        </w:rPr>
        <w:t>*</w:t>
      </w:r>
      <w:r w:rsidRPr="00DE74C2">
        <w:rPr>
          <w:rStyle w:val="a6"/>
          <w:rFonts w:ascii="Times New Roman" w:hAnsi="Times New Roman" w:cs="Times New Roman"/>
          <w:color w:val="FFFFFF" w:themeColor="background1"/>
        </w:rPr>
        <w:footnoteReference w:id="2"/>
      </w:r>
      <w:r w:rsidRPr="00DE74C2">
        <w:rPr>
          <w:rFonts w:ascii="Times New Roman" w:hAnsi="Times New Roman" w:cs="Times New Roman"/>
          <w:color w:val="FFFFFF" w:themeColor="background1"/>
        </w:rPr>
        <w:t xml:space="preserve"> </w:t>
      </w:r>
      <w:r w:rsidRPr="00F968FD">
        <w:rPr>
          <w:rFonts w:ascii="Times New Roman" w:hAnsi="Times New Roman" w:cs="Times New Roman"/>
        </w:rPr>
        <w:t>и имеющие воинские звания либо специальные</w:t>
      </w:r>
      <w:r w:rsidRPr="00B6792F">
        <w:rPr>
          <w:rFonts w:ascii="Times New Roman" w:hAnsi="Times New Roman" w:cs="Times New Roman"/>
        </w:rPr>
        <w:t xml:space="preserve"> </w:t>
      </w:r>
      <w:r w:rsidRPr="00F968FD">
        <w:rPr>
          <w:rFonts w:ascii="Times New Roman" w:hAnsi="Times New Roman" w:cs="Times New Roman"/>
        </w:rPr>
        <w:t xml:space="preserve">звания или </w:t>
      </w:r>
      <w:r w:rsidRPr="00F968FD">
        <w:rPr>
          <w:rFonts w:ascii="Times New Roman" w:hAnsi="Times New Roman" w:cs="Times New Roman"/>
        </w:rPr>
        <w:lastRenderedPageBreak/>
        <w:t>классные чины; граждане, уволенные из этих организаций с правом на пенсию.</w:t>
      </w:r>
      <w:proofErr w:type="gramEnd"/>
    </w:p>
    <w:p w:rsidR="00306886" w:rsidRPr="00BA7082" w:rsidRDefault="00306886" w:rsidP="00306886">
      <w:pPr>
        <w:ind w:firstLine="709"/>
        <w:rPr>
          <w:rFonts w:ascii="Times New Roman" w:hAnsi="Times New Roman" w:cs="Times New Roman"/>
          <w:szCs w:val="28"/>
        </w:rPr>
      </w:pPr>
      <w:proofErr w:type="gramStart"/>
      <w:r w:rsidRPr="00BA7082">
        <w:rPr>
          <w:rFonts w:ascii="Times New Roman" w:hAnsi="Times New Roman" w:cs="Times New Roman"/>
          <w:szCs w:val="28"/>
        </w:rPr>
        <w:t>Для реализации Программы создаются организационно-педагогические условия: обеспечивается необходимый уровень компетенции преподавательского состава, соответствующий требованиям  профессионального стандарта «Педагог дополнительного образования детей и взрослых»</w:t>
      </w:r>
      <w:r w:rsidRPr="00BA7082">
        <w:rPr>
          <w:rStyle w:val="a6"/>
          <w:rFonts w:ascii="Times New Roman" w:hAnsi="Times New Roman" w:cs="Times New Roman"/>
          <w:szCs w:val="28"/>
        </w:rPr>
        <w:t>*</w:t>
      </w:r>
      <w:r w:rsidRPr="00BA7082">
        <w:rPr>
          <w:rStyle w:val="a6"/>
          <w:rFonts w:ascii="Times New Roman" w:hAnsi="Times New Roman" w:cs="Times New Roman"/>
          <w:color w:val="FFFFFF" w:themeColor="background1"/>
          <w:szCs w:val="28"/>
        </w:rPr>
        <w:footnoteReference w:id="3"/>
      </w:r>
      <w:r w:rsidRPr="00BA7082">
        <w:rPr>
          <w:rFonts w:ascii="Times New Roman" w:hAnsi="Times New Roman" w:cs="Times New Roman"/>
          <w:szCs w:val="28"/>
        </w:rPr>
        <w:t>; использование при изучении дисциплин программы эффективных методик преподавания, предполагающих вместе с традиционными лекционно-семинарскими занятиями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наглядных учебных пособий.</w:t>
      </w:r>
      <w:proofErr w:type="gramEnd"/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r w:rsidRPr="00F968FD">
        <w:rPr>
          <w:rFonts w:ascii="Times New Roman" w:hAnsi="Times New Roman" w:cs="Times New Roman"/>
        </w:rPr>
        <w:t>В процессе обучения преподавательский состав вносит необходимые коррективы в содержание подготовки, связанные с изменениями и дополнениями в законодательстве Российской Федерации, без внесения обязательных изменений непосредственно в те</w:t>
      </w:r>
      <w:proofErr w:type="gramStart"/>
      <w:r w:rsidRPr="00F968FD">
        <w:rPr>
          <w:rFonts w:ascii="Times New Roman" w:hAnsi="Times New Roman" w:cs="Times New Roman"/>
        </w:rPr>
        <w:t>кст Пр</w:t>
      </w:r>
      <w:proofErr w:type="gramEnd"/>
      <w:r w:rsidRPr="00F968FD">
        <w:rPr>
          <w:rFonts w:ascii="Times New Roman" w:hAnsi="Times New Roman" w:cs="Times New Roman"/>
        </w:rPr>
        <w:t>ограммы, использует современные формы и методы обучения.</w:t>
      </w:r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r w:rsidRPr="00F968FD">
        <w:rPr>
          <w:rFonts w:ascii="Times New Roman" w:hAnsi="Times New Roman" w:cs="Times New Roman"/>
        </w:rPr>
        <w:t>Перед проведением занятий с оружием для обучаемых проводится обязательный инструктаж по соблюдению мер безопасности, а во время проведения практических занятий принимаются все необходимые меры по предупреждению несчастных случаев.</w:t>
      </w:r>
    </w:p>
    <w:p w:rsidR="00243A2A" w:rsidRDefault="00306886" w:rsidP="00306886">
      <w:pPr>
        <w:spacing w:after="0"/>
        <w:ind w:left="0"/>
        <w:rPr>
          <w:rFonts w:ascii="Times New Roman" w:hAnsi="Times New Roman" w:cs="Times New Roman"/>
        </w:rPr>
      </w:pPr>
      <w:r w:rsidRPr="00F968FD">
        <w:rPr>
          <w:rFonts w:ascii="Times New Roman" w:hAnsi="Times New Roman" w:cs="Times New Roman"/>
        </w:rPr>
        <w:t xml:space="preserve">В процессе реализации программы педагогический состав опирается на Закон РФ «Об образовании в  Российской Федерации» №-273ФЗ  от 29.12.2012 г., Постановление Правительства РФ «Об утверждении Положения о лицензировании образовательной деятельности» № 966 от 28.10.2013 г., Федеральный закон «Об оружии» № 150-ФЗ от 13.12.1996 г., </w:t>
      </w:r>
      <w:r w:rsidR="00243A2A">
        <w:rPr>
          <w:rFonts w:ascii="Times New Roman" w:hAnsi="Times New Roman" w:cs="Times New Roman"/>
        </w:rPr>
        <w:t xml:space="preserve">    </w:t>
      </w:r>
    </w:p>
    <w:p w:rsidR="00306886" w:rsidRPr="00F968FD" w:rsidRDefault="00306886" w:rsidP="00306886">
      <w:pPr>
        <w:spacing w:after="0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F968FD">
        <w:rPr>
          <w:rFonts w:ascii="Times New Roman" w:hAnsi="Times New Roman" w:cs="Times New Roman"/>
        </w:rPr>
        <w:lastRenderedPageBreak/>
        <w:t xml:space="preserve">Постановление Правительства РФ «О мерах по регулированию оборота гражданского и служебного оружия и патронов к нему на территории Российской Федерации» № 814 от 21.07.1998 г., </w:t>
      </w:r>
      <w:proofErr w:type="gramStart"/>
      <w:r w:rsidRPr="00F968FD">
        <w:rPr>
          <w:rFonts w:ascii="Times New Roman" w:hAnsi="Times New Roman" w:cs="Times New Roman"/>
        </w:rPr>
        <w:t xml:space="preserve">Постановление Правительства РФ «Об утверждении перечня организаций,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оружием, а также проверку знания указанных правил и наличия соответствующих навыков» № 731 от 5.09.2011 г., Приказ </w:t>
      </w:r>
      <w:proofErr w:type="spellStart"/>
      <w:r w:rsidRPr="00F968FD">
        <w:rPr>
          <w:rFonts w:ascii="Times New Roman" w:hAnsi="Times New Roman" w:cs="Times New Roman"/>
        </w:rPr>
        <w:t>Минобрнауки</w:t>
      </w:r>
      <w:proofErr w:type="spellEnd"/>
      <w:r w:rsidRPr="00F968FD">
        <w:rPr>
          <w:rFonts w:ascii="Times New Roman" w:hAnsi="Times New Roman" w:cs="Times New Roman"/>
        </w:rPr>
        <w:t xml:space="preserve"> России № 1489 от 30.10.2016 г. «Об утверждении требований к содержанию программ подготовки</w:t>
      </w:r>
      <w:proofErr w:type="gramEnd"/>
      <w:r w:rsidRPr="00F968FD">
        <w:rPr>
          <w:rFonts w:ascii="Times New Roman" w:hAnsi="Times New Roman" w:cs="Times New Roman"/>
        </w:rPr>
        <w:t xml:space="preserve"> </w:t>
      </w:r>
      <w:proofErr w:type="gramStart"/>
      <w:r w:rsidRPr="00F968FD">
        <w:rPr>
          <w:rFonts w:ascii="Times New Roman" w:hAnsi="Times New Roman" w:cs="Times New Roman"/>
        </w:rPr>
        <w:t xml:space="preserve">лиц в целях изучения правил безопасного обращения с оружием и приобретения навыков безопасного обращения с оружием и порядка согласования программ подготовки лиц в целях изучения правил безопасного обращения с оружием </w:t>
      </w:r>
      <w:r>
        <w:rPr>
          <w:rFonts w:ascii="Times New Roman" w:hAnsi="Times New Roman" w:cs="Times New Roman"/>
        </w:rPr>
        <w:t xml:space="preserve">и </w:t>
      </w:r>
      <w:r w:rsidRPr="00F968FD">
        <w:rPr>
          <w:rFonts w:ascii="Times New Roman" w:hAnsi="Times New Roman" w:cs="Times New Roman"/>
        </w:rPr>
        <w:t>навыков безопасного обращения с оружием», иные законодательные и подзаконные нормативные правовые акты, регулирующие вопросы, связанные с организацией учебного процесса и оборотом оружия.</w:t>
      </w:r>
      <w:proofErr w:type="gramEnd"/>
    </w:p>
    <w:p w:rsidR="00306886" w:rsidRDefault="00306886" w:rsidP="00306886">
      <w:pPr>
        <w:pStyle w:val="1"/>
        <w:spacing w:after="0"/>
        <w:ind w:left="0"/>
        <w:rPr>
          <w:rFonts w:ascii="Times New Roman" w:hAnsi="Times New Roman" w:cs="Times New Roman"/>
        </w:rPr>
      </w:pPr>
    </w:p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/>
    <w:p w:rsidR="00306886" w:rsidRDefault="00306886" w:rsidP="00306886">
      <w:pPr>
        <w:spacing w:after="0" w:line="250" w:lineRule="auto"/>
        <w:ind w:left="0" w:firstLine="0"/>
        <w:rPr>
          <w:rFonts w:ascii="Times New Roman" w:hAnsi="Times New Roman" w:cs="Times New Roman"/>
          <w:b/>
        </w:rPr>
      </w:pPr>
    </w:p>
    <w:p w:rsidR="00306886" w:rsidRDefault="00306886" w:rsidP="00306886">
      <w:pPr>
        <w:spacing w:after="0" w:line="250" w:lineRule="auto"/>
        <w:ind w:left="0" w:firstLine="0"/>
        <w:rPr>
          <w:rFonts w:ascii="Times New Roman" w:hAnsi="Times New Roman" w:cs="Times New Roman"/>
          <w:b/>
        </w:rPr>
      </w:pPr>
    </w:p>
    <w:sectPr w:rsidR="0030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99" w:rsidRDefault="00976E99" w:rsidP="00306886">
      <w:pPr>
        <w:spacing w:after="0" w:line="240" w:lineRule="auto"/>
      </w:pPr>
      <w:r>
        <w:separator/>
      </w:r>
    </w:p>
  </w:endnote>
  <w:endnote w:type="continuationSeparator" w:id="0">
    <w:p w:rsidR="00976E99" w:rsidRDefault="00976E99" w:rsidP="0030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99" w:rsidRDefault="00976E99" w:rsidP="00306886">
      <w:pPr>
        <w:spacing w:after="0" w:line="240" w:lineRule="auto"/>
      </w:pPr>
      <w:r>
        <w:separator/>
      </w:r>
    </w:p>
  </w:footnote>
  <w:footnote w:type="continuationSeparator" w:id="0">
    <w:p w:rsidR="00976E99" w:rsidRDefault="00976E99" w:rsidP="00306886">
      <w:pPr>
        <w:spacing w:after="0" w:line="240" w:lineRule="auto"/>
      </w:pPr>
      <w:r>
        <w:continuationSeparator/>
      </w:r>
    </w:p>
  </w:footnote>
  <w:footnote w:id="1">
    <w:p w:rsidR="00306886" w:rsidRPr="00F93931" w:rsidRDefault="00306886" w:rsidP="00306886">
      <w:pPr>
        <w:pStyle w:val="a4"/>
        <w:ind w:hanging="116"/>
      </w:pPr>
      <w:r w:rsidRPr="00F93931">
        <w:rPr>
          <w:rFonts w:ascii="Times New Roman" w:hAnsi="Times New Roman" w:cs="Times New Roman"/>
          <w:color w:val="auto"/>
        </w:rPr>
        <w:t>*</w:t>
      </w:r>
      <w:r w:rsidRPr="00F93931">
        <w:rPr>
          <w:color w:val="FFFFFF" w:themeColor="background1"/>
        </w:rPr>
        <w:t>*</w:t>
      </w:r>
      <w:r w:rsidRPr="00F93931">
        <w:rPr>
          <w:rStyle w:val="a6"/>
          <w:color w:val="FFFFFF" w:themeColor="background1"/>
        </w:rPr>
        <w:footnoteRef/>
      </w:r>
      <w:r w:rsidRPr="00F93931">
        <w:rPr>
          <w:color w:val="FFFFFF" w:themeColor="background1"/>
        </w:rPr>
        <w:t xml:space="preserve"> </w:t>
      </w:r>
      <w:r w:rsidRPr="00F93931">
        <w:rPr>
          <w:rFonts w:ascii="Times New Roman" w:eastAsia="Times New Roman" w:hAnsi="Times New Roman" w:cs="Times New Roman"/>
        </w:rPr>
        <w:t xml:space="preserve">Время, выделяемое на факультативные учебные курсы (при их наличии) не регламентируется. Названные курсы изучаются по желанию </w:t>
      </w:r>
      <w:proofErr w:type="gramStart"/>
      <w:r w:rsidRPr="00F93931">
        <w:rPr>
          <w:rFonts w:ascii="Times New Roman" w:eastAsia="Times New Roman" w:hAnsi="Times New Roman" w:cs="Times New Roman"/>
        </w:rPr>
        <w:t>обучаемых</w:t>
      </w:r>
      <w:proofErr w:type="gramEnd"/>
    </w:p>
  </w:footnote>
  <w:footnote w:id="2">
    <w:p w:rsidR="00306886" w:rsidRPr="00F93931" w:rsidRDefault="00306886" w:rsidP="00306886">
      <w:pPr>
        <w:spacing w:after="0" w:line="249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93931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F93931">
        <w:rPr>
          <w:rStyle w:val="a6"/>
          <w:color w:val="FFFFFF" w:themeColor="background1"/>
          <w:sz w:val="20"/>
          <w:szCs w:val="20"/>
        </w:rPr>
        <w:footnoteRef/>
      </w:r>
      <w:r w:rsidRPr="00F93931">
        <w:rPr>
          <w:color w:val="FFFFFF" w:themeColor="background1"/>
          <w:sz w:val="20"/>
          <w:szCs w:val="20"/>
        </w:rPr>
        <w:t xml:space="preserve"> </w:t>
      </w:r>
      <w:r w:rsidRPr="00F93931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5 ФЗ «Об оружии» к государственным военизированным организациям относятся: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регулированию, а также по контролю и надзору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 в области обеспечения безопасности.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разведывательной деятельности.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исполнительной власти в области государственной охраны.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специальные функции в сфере обеспечения федеральной фельдъегерской связи в Российской Федерации.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в интересах обороны и безопасности государства организацию работ в области специального строительства.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правоприменительные функции, функции по контролю и надзору в сфере исполнения уголовных наказаний в отношении осужденных.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а также правоприменительные функции и функции по контролю и надзору в установленной сфере деятельности.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Федеральный орган исполнительной власти, осуществляющий функции по выработке государственной политики и нормативному правовому регулированию в области таможенного дела, </w:t>
      </w:r>
    </w:p>
    <w:p w:rsidR="00306886" w:rsidRPr="00F93931" w:rsidRDefault="00306886" w:rsidP="00306886">
      <w:pPr>
        <w:pStyle w:val="a7"/>
        <w:numPr>
          <w:ilvl w:val="0"/>
          <w:numId w:val="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93931">
        <w:rPr>
          <w:rFonts w:ascii="Times New Roman" w:eastAsia="Times New Roman" w:hAnsi="Times New Roman" w:cs="Times New Roman"/>
          <w:color w:val="auto"/>
          <w:sz w:val="20"/>
          <w:szCs w:val="20"/>
        </w:rPr>
        <w:t>Федеральный орган обеспечения мобилизационной подготовки органов государственной власти Российской Федерации, прокуратуры Российской Федерации, Следственного комитета Российской Федерации.</w:t>
      </w:r>
    </w:p>
    <w:p w:rsidR="00306886" w:rsidRPr="00F93931" w:rsidRDefault="00306886" w:rsidP="00306886">
      <w:pPr>
        <w:pStyle w:val="a4"/>
        <w:ind w:left="0"/>
      </w:pPr>
    </w:p>
  </w:footnote>
  <w:footnote w:id="3">
    <w:p w:rsidR="00306886" w:rsidRPr="00BA7082" w:rsidRDefault="00306886" w:rsidP="00306886">
      <w:pPr>
        <w:pStyle w:val="a4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color w:val="auto"/>
        </w:rPr>
        <w:t>*</w:t>
      </w:r>
      <w:r w:rsidRPr="00F93931">
        <w:rPr>
          <w:rFonts w:ascii="Times New Roman" w:hAnsi="Times New Roman" w:cs="Times New Roman"/>
          <w:bCs/>
        </w:rPr>
        <w:t xml:space="preserve"> Приказ Минтруда России от 8 сентября 2015 г. № 613н «Об утверждении профессионального стандарта «Педагог дополнительного образования детей и взрослых». (Официальный интернет-портал правовой информации </w:t>
      </w:r>
      <w:hyperlink r:id="rId1" w:tgtFrame="_blank" w:history="1">
        <w:r w:rsidRPr="00F93931">
          <w:rPr>
            <w:rFonts w:ascii="Times New Roman" w:hAnsi="Times New Roman" w:cs="Times New Roman"/>
            <w:bCs/>
          </w:rPr>
          <w:t>http://www.pravo.gov.ru</w:t>
        </w:r>
      </w:hyperlink>
      <w:r w:rsidRPr="00F93931">
        <w:rPr>
          <w:rFonts w:ascii="Times New Roman" w:hAnsi="Times New Roman" w:cs="Times New Roman"/>
          <w:bCs/>
        </w:rPr>
        <w:t>, 28.09.2015.)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4A01"/>
    <w:multiLevelType w:val="hybridMultilevel"/>
    <w:tmpl w:val="84C4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86"/>
    <w:rsid w:val="00243A2A"/>
    <w:rsid w:val="00306886"/>
    <w:rsid w:val="009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86"/>
    <w:pPr>
      <w:spacing w:after="12" w:line="251" w:lineRule="auto"/>
      <w:ind w:left="116" w:firstLine="698"/>
      <w:jc w:val="both"/>
    </w:pPr>
    <w:rPr>
      <w:rFonts w:ascii="Arial" w:eastAsia="Arial" w:hAnsi="Arial" w:cs="Arial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306886"/>
    <w:pPr>
      <w:keepNext/>
      <w:keepLines/>
      <w:spacing w:after="11" w:line="250" w:lineRule="auto"/>
      <w:ind w:left="121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886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a3">
    <w:name w:val="Основной текст_"/>
    <w:basedOn w:val="a0"/>
    <w:link w:val="16"/>
    <w:rsid w:val="003068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30688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3"/>
    <w:rsid w:val="00306886"/>
    <w:pPr>
      <w:widowControl w:val="0"/>
      <w:shd w:val="clear" w:color="auto" w:fill="FFFFFF"/>
      <w:spacing w:before="300" w:after="0" w:line="317" w:lineRule="exact"/>
      <w:ind w:left="0" w:firstLine="0"/>
    </w:pPr>
    <w:rPr>
      <w:rFonts w:ascii="Times New Roman" w:eastAsia="Times New Roman" w:hAnsi="Times New Roman" w:cs="Times New Roman"/>
      <w:color w:val="auto"/>
      <w:szCs w:val="28"/>
      <w:lang w:eastAsia="en-US"/>
    </w:rPr>
  </w:style>
  <w:style w:type="paragraph" w:styleId="a4">
    <w:name w:val="footnote text"/>
    <w:basedOn w:val="a"/>
    <w:link w:val="a5"/>
    <w:unhideWhenUsed/>
    <w:rsid w:val="003068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06886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6">
    <w:name w:val="footnote reference"/>
    <w:basedOn w:val="a0"/>
    <w:unhideWhenUsed/>
    <w:rsid w:val="00306886"/>
    <w:rPr>
      <w:vertAlign w:val="superscript"/>
    </w:rPr>
  </w:style>
  <w:style w:type="paragraph" w:styleId="a7">
    <w:name w:val="List Paragraph"/>
    <w:basedOn w:val="a"/>
    <w:uiPriority w:val="34"/>
    <w:qFormat/>
    <w:rsid w:val="00306886"/>
    <w:pPr>
      <w:ind w:left="720"/>
      <w:contextualSpacing/>
    </w:pPr>
  </w:style>
  <w:style w:type="paragraph" w:customStyle="1" w:styleId="22">
    <w:name w:val="Основной текст 22"/>
    <w:basedOn w:val="a"/>
    <w:rsid w:val="00306886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306886"/>
    <w:pPr>
      <w:spacing w:after="0" w:line="240" w:lineRule="auto"/>
      <w:ind w:left="0" w:firstLine="0"/>
      <w:jc w:val="center"/>
    </w:pPr>
    <w:rPr>
      <w:rFonts w:ascii="Arial Narrow" w:eastAsia="Times New Roman" w:hAnsi="Arial Narrow" w:cs="Arial Narrow"/>
      <w:color w:val="auto"/>
      <w:szCs w:val="20"/>
      <w:lang w:eastAsia="ar-SA"/>
    </w:rPr>
  </w:style>
  <w:style w:type="character" w:customStyle="1" w:styleId="aa">
    <w:name w:val="Название Знак"/>
    <w:basedOn w:val="a0"/>
    <w:link w:val="a8"/>
    <w:rsid w:val="00306886"/>
    <w:rPr>
      <w:rFonts w:ascii="Arial Narrow" w:eastAsia="Times New Roman" w:hAnsi="Arial Narrow" w:cs="Arial Narrow"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306886"/>
    <w:pPr>
      <w:numPr>
        <w:ilvl w:val="1"/>
      </w:numPr>
      <w:ind w:left="116" w:firstLine="69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306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86"/>
    <w:pPr>
      <w:spacing w:after="12" w:line="251" w:lineRule="auto"/>
      <w:ind w:left="116" w:firstLine="698"/>
      <w:jc w:val="both"/>
    </w:pPr>
    <w:rPr>
      <w:rFonts w:ascii="Arial" w:eastAsia="Arial" w:hAnsi="Arial" w:cs="Arial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306886"/>
    <w:pPr>
      <w:keepNext/>
      <w:keepLines/>
      <w:spacing w:after="11" w:line="250" w:lineRule="auto"/>
      <w:ind w:left="121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886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a3">
    <w:name w:val="Основной текст_"/>
    <w:basedOn w:val="a0"/>
    <w:link w:val="16"/>
    <w:rsid w:val="003068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30688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3"/>
    <w:rsid w:val="00306886"/>
    <w:pPr>
      <w:widowControl w:val="0"/>
      <w:shd w:val="clear" w:color="auto" w:fill="FFFFFF"/>
      <w:spacing w:before="300" w:after="0" w:line="317" w:lineRule="exact"/>
      <w:ind w:left="0" w:firstLine="0"/>
    </w:pPr>
    <w:rPr>
      <w:rFonts w:ascii="Times New Roman" w:eastAsia="Times New Roman" w:hAnsi="Times New Roman" w:cs="Times New Roman"/>
      <w:color w:val="auto"/>
      <w:szCs w:val="28"/>
      <w:lang w:eastAsia="en-US"/>
    </w:rPr>
  </w:style>
  <w:style w:type="paragraph" w:styleId="a4">
    <w:name w:val="footnote text"/>
    <w:basedOn w:val="a"/>
    <w:link w:val="a5"/>
    <w:unhideWhenUsed/>
    <w:rsid w:val="003068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06886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6">
    <w:name w:val="footnote reference"/>
    <w:basedOn w:val="a0"/>
    <w:unhideWhenUsed/>
    <w:rsid w:val="00306886"/>
    <w:rPr>
      <w:vertAlign w:val="superscript"/>
    </w:rPr>
  </w:style>
  <w:style w:type="paragraph" w:styleId="a7">
    <w:name w:val="List Paragraph"/>
    <w:basedOn w:val="a"/>
    <w:uiPriority w:val="34"/>
    <w:qFormat/>
    <w:rsid w:val="00306886"/>
    <w:pPr>
      <w:ind w:left="720"/>
      <w:contextualSpacing/>
    </w:pPr>
  </w:style>
  <w:style w:type="paragraph" w:customStyle="1" w:styleId="22">
    <w:name w:val="Основной текст 22"/>
    <w:basedOn w:val="a"/>
    <w:rsid w:val="00306886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306886"/>
    <w:pPr>
      <w:spacing w:after="0" w:line="240" w:lineRule="auto"/>
      <w:ind w:left="0" w:firstLine="0"/>
      <w:jc w:val="center"/>
    </w:pPr>
    <w:rPr>
      <w:rFonts w:ascii="Arial Narrow" w:eastAsia="Times New Roman" w:hAnsi="Arial Narrow" w:cs="Arial Narrow"/>
      <w:color w:val="auto"/>
      <w:szCs w:val="20"/>
      <w:lang w:eastAsia="ar-SA"/>
    </w:rPr>
  </w:style>
  <w:style w:type="character" w:customStyle="1" w:styleId="aa">
    <w:name w:val="Название Знак"/>
    <w:basedOn w:val="a0"/>
    <w:link w:val="a8"/>
    <w:rsid w:val="00306886"/>
    <w:rPr>
      <w:rFonts w:ascii="Arial Narrow" w:eastAsia="Times New Roman" w:hAnsi="Arial Narrow" w:cs="Arial Narrow"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306886"/>
    <w:pPr>
      <w:numPr>
        <w:ilvl w:val="1"/>
      </w:numPr>
      <w:ind w:left="116" w:firstLine="69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306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79813111186</dc:creator>
  <cp:lastModifiedBy>79813111186</cp:lastModifiedBy>
  <cp:revision>2</cp:revision>
  <dcterms:created xsi:type="dcterms:W3CDTF">2021-09-14T12:52:00Z</dcterms:created>
  <dcterms:modified xsi:type="dcterms:W3CDTF">2021-09-14T12:56:00Z</dcterms:modified>
</cp:coreProperties>
</file>